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B52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附 件：1</w:t>
      </w:r>
    </w:p>
    <w:p w14:paraId="3FA45F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jc w:val="center"/>
        <w:rPr>
          <w:rFonts w:hint="eastAsia" w:ascii="仿宋" w:hAnsi="仿宋" w:eastAsia="仿宋" w:cs="仿宋"/>
          <w:color w:val="000000"/>
          <w:kern w:val="0"/>
          <w:sz w:val="28"/>
          <w:szCs w:val="28"/>
          <w:lang w:val="en-US" w:eastAsia="zh-CN" w:bidi="ar"/>
        </w:rPr>
      </w:pPr>
      <w:bookmarkStart w:id="0" w:name="_GoBack"/>
      <w:r>
        <w:rPr>
          <w:rFonts w:hint="eastAsia" w:ascii="仿宋" w:hAnsi="仿宋" w:eastAsia="仿宋" w:cs="仿宋"/>
          <w:i w:val="0"/>
          <w:iCs w:val="0"/>
          <w:color w:val="000000"/>
          <w:kern w:val="0"/>
          <w:sz w:val="28"/>
          <w:szCs w:val="28"/>
          <w:u w:val="none"/>
          <w:lang w:val="en-US" w:eastAsia="zh-CN" w:bidi="ar"/>
        </w:rPr>
        <w:t>超声高频集成手术设备参数</w:t>
      </w:r>
    </w:p>
    <w:bookmarkEnd w:id="0"/>
    <w:p w14:paraId="0152D1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2" w:firstLineChars="200"/>
        <w:jc w:val="left"/>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一、能量平台主机性能要求</w:t>
      </w:r>
    </w:p>
    <w:p w14:paraId="721234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1.器械拓展接口</w:t>
      </w:r>
    </w:p>
    <w:p w14:paraId="0806A2B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设备可同步挂载超声切割闭合器械、两路单极手术器械、一路双极手术器械同时工作；配置两组独立单极输出端口，可适配多种规格标准手术插头，双极输出端口兼容临床常用同轴式双极器械接头，通用性强。</w:t>
      </w:r>
    </w:p>
    <w:p w14:paraId="75A2F19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2.人机交互系统</w:t>
      </w:r>
    </w:p>
    <w:p w14:paraId="1AA30DC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配备大屏彩色液晶触控显示屏，屏幕分辨率不低于1024×768，通过触摸屏完成手术模式切换、输出功率微调等全部操作；系统内置多语种操作界面，默认支持简体中文显示。</w:t>
      </w:r>
    </w:p>
    <w:p w14:paraId="53656E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3.安全监测与故障预警</w:t>
      </w:r>
    </w:p>
    <w:p w14:paraId="737D54E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各器械输出端口配备连接在位指示灯与工作运行指示灯；系统可自动统计各类手术器械使用激发频次；内置整机硬件及线路自检程序，故障分为两级预警机制，不同故障等级对应差异化声光提醒；故障弹窗可直接显示排查处置指引，支持一键消音关闭报警提示。</w:t>
      </w:r>
    </w:p>
    <w:p w14:paraId="72B36A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4.操作便捷性功能</w:t>
      </w:r>
    </w:p>
    <w:p w14:paraId="1B4CD55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手术器械可通过手柄自带按键或外接脚踏开关两种方式触发能量输出；支持多组手术参数方案自定义存储并命名归档，可快速调取预设方案；设置参数快捷恢复按键，一键复原上一次关机前的全部运行参数。</w:t>
      </w:r>
    </w:p>
    <w:p w14:paraId="18E9F3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5.机身物理与使用环境</w:t>
      </w:r>
    </w:p>
    <w:p w14:paraId="714419E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整机外壳耐受医用消毒剂擦拭消毒，可使用75%医用酒精、医用多酶清洗剂等常规院感消毒用品清洁；正常工作环境：环境温度10℃～30℃，相对湿度15%～85%（非冷凝），大气压强70kPa～106kPa；设备主机自重不大于12kg，移动转运便捷。</w:t>
      </w:r>
    </w:p>
    <w:p w14:paraId="4B0ACF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6.电气输入输出指标</w:t>
      </w:r>
    </w:p>
    <w:p w14:paraId="32871F0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采用全球通用宽幅电压供电，输入交流电压范围100-240V（波动允许±10%），适配50Hz/60Hz工频电网；整机最大输入视在功率不超过800VA，高频额定输出总功率不低于300W。</w:t>
      </w:r>
    </w:p>
    <w:p w14:paraId="5CC6A27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2" w:firstLineChars="200"/>
        <w:jc w:val="left"/>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二、超声切割闭合系统技术要求</w:t>
      </w:r>
    </w:p>
    <w:p w14:paraId="7E65FED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1.超声刀系统能够安全离断并闭合管径不大于7mm的人体血管及致密软组织；超声模块额定输出功率≥60W，工作振荡频率区间30kHz～80kHz。</w:t>
      </w:r>
    </w:p>
    <w:p w14:paraId="7AB3F71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2.具备组织自适应能量调控机制，实时感知不同组织结构阻抗自动动态匹配输出能量，并辅以声响提示反馈，缩小热传导损伤范围；搭载优化凝血运算程序，强化大血管闭合可靠性与稳定性。</w:t>
      </w:r>
    </w:p>
    <w:p w14:paraId="0147939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3.超声输出分两档工作逻辑：低能量档位支持1-5级无级分段调节，高能量档位为固定5级输出，适配不同手术创面需求。</w:t>
      </w:r>
    </w:p>
    <w:p w14:paraId="2EDB30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2" w:firstLineChars="200"/>
        <w:jc w:val="left"/>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三、高频单极电外科系统</w:t>
      </w:r>
    </w:p>
    <w:p w14:paraId="5628EDB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1.单极高频工作基准频率为434kHz；输出模式包含纯切割、混合切割两种切割模式，以及软凝固、电灼、喷淋凝固三类凝血模式。</w:t>
      </w:r>
    </w:p>
    <w:p w14:paraId="0337F5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2.功率调节分段精细化设置：纯切模式输出范围0～300W，混切模式0～200W，各类单极凝固模式0～120W；小功率区间以1W为步进值，中段功率5W步进，大功率区间10W步进，调校精准。</w:t>
      </w:r>
    </w:p>
    <w:p w14:paraId="3C04E53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3.负极板安全保护：兼容成人、新生儿不同规格中性负极板，单片式、双片式负极板均可识别接入；持续闭环监测负极板与设备、患者皮肤的贴合状态，接触异常即刻触发安全报警。</w:t>
      </w:r>
    </w:p>
    <w:p w14:paraId="4476BDC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4.动态性能优化：超高频次采集人体组织阻抗参数，实时修正能量输出；内置功率损耗补偿算法，消除器械线缆长短、材质差异、组织阻抗波动带来的输出偏差，保证术中切割、凝血效果稳定统一。</w:t>
      </w:r>
    </w:p>
    <w:p w14:paraId="7C277BD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2" w:firstLineChars="200"/>
        <w:jc w:val="left"/>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四、高频双极电外科系统</w:t>
      </w:r>
    </w:p>
    <w:p w14:paraId="557863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1.双极凝血设置四种临床工作模式：精确凝血、标准凝血、强化宏凝血、柔和低损伤凝血；其中前三类模式高频频率434kHz，柔和凝血模式采用350kHz低频输出，降低热辐射。</w:t>
      </w:r>
    </w:p>
    <w:p w14:paraId="6C5CC7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2.全部双极模式最大功率输出0～70W；精确/标准/宏凝血模式1-40W以1W递进、40W以上5W递进；柔和凝血模式1-10W按1W步进、10W以上2W步进，微调精度高。</w:t>
      </w:r>
    </w:p>
    <w:p w14:paraId="50254F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3.不同双极模式匹配独立峰值输出电压，可根据精细显微操作、普通止血、大面积渗血处理等不同场景分级选用，满足多样化手术凝血精度要求。</w:t>
      </w:r>
    </w:p>
    <w:p w14:paraId="7F6AD4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2" w:firstLineChars="200"/>
        <w:jc w:val="left"/>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五、电刀设备配置清单明细</w:t>
      </w:r>
    </w:p>
    <w:p w14:paraId="3019DD3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1.能量平台主机 1 台，</w:t>
      </w:r>
    </w:p>
    <w:p w14:paraId="5A44D36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2.电刀双踏板1个，</w:t>
      </w:r>
    </w:p>
    <w:p w14:paraId="545F64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3.电刀单踏板1个，</w:t>
      </w:r>
    </w:p>
    <w:p w14:paraId="03F793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4.一次性电刀笔2个，</w:t>
      </w:r>
    </w:p>
    <w:p w14:paraId="75ADEE7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5.负级板连接线2根，</w:t>
      </w:r>
    </w:p>
    <w:p w14:paraId="7D689B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6.中性电极片10个/袋，</w:t>
      </w:r>
    </w:p>
    <w:p w14:paraId="30F54C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7.5m国标电源线 1根，</w:t>
      </w:r>
    </w:p>
    <w:p w14:paraId="026AC0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00" w:lineRule="exact"/>
        <w:ind w:right="0" w:rightChars="0" w:firstLine="560" w:firstLineChars="200"/>
        <w:jc w:val="lef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8.换能器        1个</w:t>
      </w:r>
    </w:p>
    <w:p w14:paraId="1E0389A1">
      <w:pPr>
        <w:ind w:firstLine="560" w:firstLineChars="200"/>
      </w:pPr>
      <w:r>
        <w:rPr>
          <w:rFonts w:hint="eastAsia" w:ascii="仿宋" w:hAnsi="仿宋" w:eastAsia="仿宋" w:cs="仿宋"/>
          <w:color w:val="000000"/>
          <w:sz w:val="28"/>
          <w:szCs w:val="28"/>
          <w:lang w:val="en-US" w:eastAsia="zh-CN"/>
        </w:rPr>
        <w:t>9.超声刀刀头    5把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35400"/>
    <w:rsid w:val="07C35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2026-08-13T02:09:00Z</dcterms:created>
  <dc:creator>简静自持</dc:creator>
  <cp:lastModifiedBy>简静自持</cp:lastModifiedBy>
  <dcterms:modified xsi:type="dcterms:W3CDTF">2026-08-13T02:10:27Z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F2A1F3B7757044A3B6C97C2BE64A83C5_11</vt:lpwstr>
  </property>
  <property fmtid="{D5CDD505-2E9C-101B-9397-08002B2CF9AE}" pid="4" name="KSOTemplateDocerSaveRecord">
    <vt:lpwstr>eyJoZGlkIjoiYWU4ZGJiMzAxYjkwM2EwYjI1OGNlMmYxNDcyMzg3MDEiLCJ1c2VySWQiOiIzODU4NzM5MzAifQ==</vt:lpwstr>
  </property>
</Properties>
</file>